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《USFDD FDD分析报告》｜Gong Cha</w:t>
      </w:r>
    </w:p>
    <w:p>
      <w:r>
        <w:t xml:space="preserve">本报告由 USFDD（www.USFDD.com）编制</w:t>
      </w:r>
    </w:p>
    <w:p>
      <w:pPr>
        <w:pStyle w:val="Heading1"/>
      </w:pPr>
      <w:r>
        <w:t xml:space="preserve">封面基本信息</w:t>
      </w:r>
    </w:p>
    <w:p>
      <w:r>
        <w:t xml:space="preserve">报告类型：featured_fdd_intelligence</w:t>
        <w:br/>
        <w:t xml:space="preserve">FDD文件：gong-cha_latest</w:t>
        <w:br/>
        <w:t xml:space="preserve">页面尺寸：US Letter（8.5 x 11），1英寸四边距</w:t>
        <w:br/>
        <w:t xml:space="preserve">字体：Arial</w:t>
        <w:br/>
        <w:t xml:space="preserve">免责声明：本平台内容仅供商业信息参考，不构成法律意见、投资建议、加盟建议、移民建议或财务建议。</w:t>
      </w:r>
    </w:p>
    <w:p>
      <w:pPr>
        <w:pStyle w:val="Heading1"/>
      </w:pPr>
      <w:r>
        <w:t xml:space="preserve">核心评分</w:t>
      </w:r>
    </w:p>
    <w:p>
      <w:r>
        <w:t xml:space="preserve">综合评分：76/100</w:t>
        <w:br/>
        <w:t xml:space="preserve">投资吸引力：35/100</w:t>
        <w:br/>
        <w:t xml:space="preserve">财务透明度：76/100</w:t>
        <w:br/>
        <w:t xml:space="preserve">法律风险：35/100</w:t>
        <w:br/>
        <w:t xml:space="preserve">门店增长：35/100</w:t>
        <w:br/>
        <w:t xml:space="preserve">合同友好度：35/100</w:t>
        <w:br/>
        <w:t xml:space="preserve">风险评分：24/100</w:t>
      </w:r>
    </w:p>
    <w:p>
      <w:pPr>
        <w:pStyle w:val="Heading1"/>
      </w:pPr>
      <w:r>
        <w:t xml:space="preserve">一、品牌历史沿革与公司架构</w:t>
      </w:r>
    </w:p>
    <w:p>
      <w:r>
        <w:t xml:space="preserve">分析对象：Gong Cha</w:t>
        <w:br/>
        <w:t xml:space="preserve">引用依据：FDD Item 1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1.1 品牌起源与发展时间线</w:t>
        <w:br/>
        <w:t xml:space="preserve">| 时间节点 | 事实 | 尽调含义 |</w:t>
        <w:br/>
        <w:t xml:space="preserve">| 品牌成立/进入美国 | 以Item 1和FDD封面为准 | 判断美国运营年限是否低于2-5年高风险区间 |</w:t>
        <w:br/>
        <w:t xml:space="preserve">| 特许经营主体设立 | 以Item 1列明主体为准 | 核查签约主体、母公司、关联方和授权链条 |</w:t>
        <w:br/>
        <w:t xml:space="preserve">| FDD版本 | 以封面和Item 23签收页为准 | 确认是否为当前销售使用版本 |</w:t>
      </w:r>
    </w:p>
    <w:p>
      <w:r>
        <w:t xml:space="preserve">1.2 美国市场进入时间线：需核查首次开设美国门店、首次授权加盟、首次州注册和最近一次FDD更新。</w:t>
      </w:r>
    </w:p>
    <w:p>
      <w:r>
        <w:t xml:space="preserve">1.3 公司股权架构：按Item 1列明的母公司、关联方、前身公司和品牌授权方建立分层表。若存在境外控股、Delaware主体、品牌授权公司和运营公司分离，应要求品牌方解释谁承担合同义务、谁拥有商标、谁收取费用。</w:t>
      </w:r>
    </w:p>
    <w:p>
      <w:r>
        <w:t xml:space="preserve">深度尽调补充：一、品牌历史沿革与公司架构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</w:t>
      </w:r>
    </w:p>
    <w:p>
      <w:r>
        <w:t xml:space="preserve">需人工核查：是</w:t>
      </w:r>
    </w:p>
    <w:p>
      <w:pPr>
        <w:pStyle w:val="Heading1"/>
      </w:pPr>
      <w:r>
        <w:t xml:space="preserve">二、管理团队评估（Item 2）</w:t>
      </w:r>
    </w:p>
    <w:p>
      <w:r>
        <w:t xml:space="preserve">分析对象：Gong Cha</w:t>
        <w:br/>
        <w:t xml:space="preserve">引用依据：FDD Item 2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逐人分析：从Item 2提取每位高管的姓名、职务、过去5年履历、加盟管理经验、美国本地运营经验、餐饮/零售供应链经验和是否存在频繁换岗。</w:t>
      </w:r>
    </w:p>
    <w:p>
      <w:r>
        <w:t xml:space="preserve">团队整体风险提示：如果管理团队美国加盟经验不足、核心人员履历短、缺少合规/培训/选址负责人，加盟商可能在开业、持续支持、供应链和纠纷处理上承担更多执行风险。</w:t>
      </w:r>
    </w:p>
    <w:p>
      <w:r>
        <w:t xml:space="preserve">深度尽调补充：二、管理团队评估（Item 2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</w:t>
      </w:r>
    </w:p>
    <w:p>
      <w:r>
        <w:t xml:space="preserve">需人工核查：是</w:t>
      </w:r>
    </w:p>
    <w:p>
      <w:pPr>
        <w:pStyle w:val="Heading1"/>
      </w:pPr>
      <w:r>
        <w:t xml:space="preserve">三、诉讼记录与破产历史（Items 3 &amp; 4）</w:t>
      </w:r>
    </w:p>
    <w:p>
      <w:r>
        <w:t xml:space="preserve">分析对象：Gong Cha</w:t>
        <w:br/>
        <w:t xml:space="preserve">引用依据：FDD Item 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诉讼记录：逐项列出Item 3披露的案件主体、案号、法院、主张、金额和当前状态。若Item 3显示No litigation，也必须注明：该结论只覆盖FDD披露截至日期和披露义务范围，不代表现实中完全无纠纷。</w:t>
      </w:r>
    </w:p>
    <w:p>
      <w:r>
        <w:t xml:space="preserve">破产历史：逐项核查Item 4披露的品牌方、关联方和管理人员破产记录。即使无破产，也应结合Item 21财务报表判断持续经营能力。</w:t>
      </w:r>
    </w:p>
    <w:p>
      <w:r>
        <w:t xml:space="preserve">建议投资者自行查询：联邦PACER、州法院公开系统、州加盟监管记录、FTC/州总检察长处罚和商标争议记录。</w:t>
      </w:r>
    </w:p>
    <w:p>
      <w:r>
        <w:t xml:space="preserve">深度尽调补充：三、诉讼记录与破产历史（Items 3 &amp; 4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3</w:t>
      </w:r>
    </w:p>
    <w:p>
      <w:r>
        <w:t xml:space="preserve">需人工核查：是</w:t>
      </w:r>
    </w:p>
    <w:p>
      <w:pPr>
        <w:pStyle w:val="Heading1"/>
      </w:pPr>
      <w:r>
        <w:t xml:space="preserve">四、加盟费用全景分析（Items 5-7）</w:t>
      </w:r>
    </w:p>
    <w:p>
      <w:r>
        <w:t xml:space="preserve">分析对象：Gong Cha</w:t>
        <w:br/>
        <w:t xml:space="preserve">引用依据：FDD Item 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4.1 初始投资汇总表</w:t>
        <w:br/>
        <w:t xml:space="preserve">| 成本项目 | 最低值 | 最高值 | 尽调重点 |</w:t>
        <w:br/>
        <w:t xml:space="preserve">| 初始加盟费 | 以Item 5为准 | 以Item 5为准 | 是否可退、是否含培训和开业支持 |</w:t>
        <w:br/>
        <w:t xml:space="preserve">| 装修/设备/库存 | 以Item 7为准 | 以Item 7为准 | 是否适用于目标城市租金和人工水平 |</w:t>
        <w:br/>
        <w:t xml:space="preserve">| 开业营运资金 | 以Item 7为准 | 以Item 7为准 | 是否覆盖3-6个月保守现金流 |</w:t>
      </w:r>
    </w:p>
    <w:p>
      <w:r>
        <w:t xml:space="preserve">4.2 持续费用分析：逐项提取Royalty、广告基金、技术费、培训费、审计费、续约费、转让费、逾期费、改造费用和本地营销义务。若Royalty高于7%为极高风险，6%-7%为高风险，低于6%为中低风险。</w:t>
      </w:r>
    </w:p>
    <w:p>
      <w:r>
        <w:t xml:space="preserve">深度尽调补充：四、加盟费用全景分析（Items 5-7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7</w:t>
      </w:r>
    </w:p>
    <w:p>
      <w:r>
        <w:t xml:space="preserve">需人工核查：是</w:t>
      </w:r>
    </w:p>
    <w:p>
      <w:pPr>
        <w:pStyle w:val="Heading1"/>
      </w:pPr>
      <w:r>
        <w:t xml:space="preserve">五、供应链管制与采购限制（Item 8）</w:t>
      </w:r>
    </w:p>
    <w:p>
      <w:r>
        <w:t xml:space="preserve">分析对象：Gong Cha</w:t>
        <w:br/>
        <w:t xml:space="preserve">引用依据：FDD Item 8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5.1 强制采购范围：列举食品原料、设备、装修材料、POS系统、包装、制服、菜单、营销物料和指定服务商。</w:t>
      </w:r>
    </w:p>
    <w:p>
      <w:r>
        <w:t xml:space="preserve">5.2 关联方交易识别：比对Item 1关联方和Item 8供应商名单，识别品牌方、母公司、股东或管理层是否从指定采购中获利。</w:t>
      </w:r>
    </w:p>
    <w:p>
      <w:r>
        <w:t xml:space="preserve">5.3 替代供应商限制：核查申请流程、审批期限、检测费用、拒绝标准和临时缺货情况下的采购自由度。强制采购且无定价约束，应标记为HIGH。</w:t>
      </w:r>
    </w:p>
    <w:p>
      <w:r>
        <w:t xml:space="preserve">深度尽调补充：五、供应链管制与采购限制（Item 8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8</w:t>
      </w:r>
    </w:p>
    <w:p>
      <w:r>
        <w:t xml:space="preserve">需人工核查：是</w:t>
      </w:r>
    </w:p>
    <w:p>
      <w:pPr>
        <w:pStyle w:val="Heading1"/>
      </w:pPr>
      <w:r>
        <w:t xml:space="preserve">六、商标风险深度分析（Item 13）</w:t>
      </w:r>
    </w:p>
    <w:p>
      <w:r>
        <w:t xml:space="preserve">分析对象：Gong Cha</w:t>
        <w:br/>
        <w:t xml:space="preserve">引用依据：FDD Item 13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6.1 商标状态表</w:t>
        <w:br/>
        <w:t xml:space="preserve">| 商标/标识 | 申请号/注册号 | 权利人 | 状态 | 风险 |</w:t>
        <w:br/>
        <w:t xml:space="preserve">| 品牌主商标 | 以Item 13和USPTO核查为准 | 以Item 13为准 | 注册/申请中/普通法 | 申请中或权属不清为HIGH |</w:t>
      </w:r>
    </w:p>
    <w:p>
      <w:r>
        <w:t xml:space="preserve">6.2 商标权属链条：不能只看谁持有商标，还要看谁授权给特许经营人、授权是否独家、是否覆盖美国、是否可转授权给加盟商。</w:t>
      </w:r>
    </w:p>
    <w:p>
      <w:r>
        <w:t xml:space="preserve">6.3 原文风险警示引用：若FDD披露商标申请中、异议、诉讼、许可可终止或普通法权利，应逐字摘录核心警示并列为签约前必查事项。</w:t>
      </w:r>
    </w:p>
    <w:p>
      <w:r>
        <w:t xml:space="preserve">深度尽调补充：六、商标风险深度分析（Item 13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13</w:t>
      </w:r>
    </w:p>
    <w:p>
      <w:r>
        <w:t xml:space="preserve">需人工核查：是</w:t>
      </w:r>
    </w:p>
    <w:p>
      <w:pPr>
        <w:pStyle w:val="Heading1"/>
      </w:pPr>
      <w:r>
        <w:t xml:space="preserve">七、财务健康状况评估（Item 21）</w:t>
      </w:r>
    </w:p>
    <w:p>
      <w:r>
        <w:t xml:space="preserve">分析对象：Gong Cha</w:t>
        <w:br/>
        <w:t xml:space="preserve">引用依据：FDD Item 21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审计期间：核查Item 21是否提供最近3年审计财报，是否仅有成立初期短期报表，是否存在持续经营警示、亏损、现金不足、关联方应收应付或收入确认异常。</w:t>
      </w:r>
    </w:p>
    <w:p>
      <w:r>
        <w:t xml:space="preserve">FDD自我风险警示：若Item开头有Special Risk Factors，必须作为报告重点引用。品牌方财务弱会影响培训、供应链、广告、系统维护和长期履约能力。</w:t>
      </w:r>
    </w:p>
    <w:p>
      <w:r>
        <w:t xml:space="preserve">深度尽调补充：七、财务健康状况评估（Item 21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21</w:t>
      </w:r>
    </w:p>
    <w:p>
      <w:r>
        <w:t xml:space="preserve">需人工核查：是</w:t>
      </w:r>
    </w:p>
    <w:p>
      <w:pPr>
        <w:pStyle w:val="Heading1"/>
      </w:pPr>
      <w:r>
        <w:t xml:space="preserve">八、门店历史与加盟商信息（Item 20）</w:t>
      </w:r>
    </w:p>
    <w:p>
      <w:r>
        <w:t xml:space="preserve">分析对象：Gong Cha</w:t>
        <w:br/>
        <w:t xml:space="preserve">引用依据：FDD Item 20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8.1 系统门店历史表</w:t>
        <w:br/>
        <w:t xml:space="preserve">| 年度 | 加盟店期初 | 新开 | 关闭/终止 | 转让 | 期末 |</w:t>
        <w:br/>
        <w:t xml:space="preserve">| 2022 | 以Item 20为准 | 以Item 20为准 | 以Item 20为准 | 以Item 20为准 | 以Item 20为准 |</w:t>
        <w:br/>
        <w:t xml:space="preserve">| 2023 | 以Item 20为准 | 以Item 20为准 | 以Item 20为准 | 以Item 20为准 | 以Item 20为准 |</w:t>
        <w:br/>
        <w:t xml:space="preserve">| 2024 | 以Item 20为准 | 以Item 20为准 | 以Item 20为准 | 以Item 20为准 | 以Item 20为准 |</w:t>
      </w:r>
    </w:p>
    <w:p>
      <w:r>
        <w:t xml:space="preserve">8.2 未来拓展计划：高增长不等于低风险。若关闭、转让、终止同步上升，需访谈退出加盟商确认真实原因。</w:t>
      </w:r>
    </w:p>
    <w:p>
      <w:r>
        <w:t xml:space="preserve">深度尽调补充：八、门店历史与加盟商信息（Item 20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20</w:t>
      </w:r>
    </w:p>
    <w:p>
      <w:r>
        <w:t xml:space="preserve">需人工核查：是</w:t>
      </w:r>
    </w:p>
    <w:p>
      <w:pPr>
        <w:pStyle w:val="Heading1"/>
      </w:pPr>
      <w:r>
        <w:t xml:space="preserve">九、合同关键条款逐项解析（Item 17）</w:t>
      </w:r>
    </w:p>
    <w:p>
      <w:r>
        <w:t xml:space="preserve">分析对象：Gong Cha</w:t>
        <w:br/>
        <w:t xml:space="preserve">引用依据：FDD Item 17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9.1 合同期限与续约：确认期限几年、续约费多少、是否必须签当时新版协议、是否要求重新装修或重新培训。</w:t>
      </w:r>
    </w:p>
    <w:p>
      <w:r>
        <w:t xml:space="preserve">9.2 终止条款：区分即时终止和可治愈违约。即时终止范围过宽会显著影响加盟商资产安全。</w:t>
      </w:r>
    </w:p>
    <w:p>
      <w:r>
        <w:t xml:space="preserve">9.3 竞业禁止：必须列明在职期间、离职后年限、地理范围、限制业务类型，以及是否要求配偶或关联公司担保。</w:t>
      </w:r>
    </w:p>
    <w:p>
      <w:r>
        <w:t xml:space="preserve">9.4 转让条款：核查转让费、品牌方同意权、优先购买权、买方培训、装修升级和债务清偿要求。</w:t>
      </w:r>
    </w:p>
    <w:p>
      <w:r>
        <w:t xml:space="preserve">9.5 争议解决：核查仲裁地点、适用法律、陪审团放弃、集体诉讼限制和律师费条款。</w:t>
      </w:r>
    </w:p>
    <w:p>
      <w:r>
        <w:t xml:space="preserve">深度尽调补充：九、合同关键条款逐项解析（Item 17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17</w:t>
      </w:r>
    </w:p>
    <w:p>
      <w:r>
        <w:t xml:space="preserve">需人工核查：是</w:t>
      </w:r>
    </w:p>
    <w:p>
      <w:pPr>
        <w:pStyle w:val="Heading1"/>
      </w:pPr>
      <w:r>
        <w:t xml:space="preserve">十、其他关键运营限制</w:t>
      </w:r>
    </w:p>
    <w:p>
      <w:r>
        <w:t xml:space="preserve">分析对象：Gong Cha</w:t>
        <w:br/>
        <w:t xml:space="preserve">引用依据：FDD Item 19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地域排他保护：确认是否有保护半径，以及直营店、非传统门店、线上销售、外卖平台、商超渠道和活动快闪店是否构成例外。</w:t>
      </w:r>
    </w:p>
    <w:p>
      <w:r>
        <w:t xml:space="preserve">Item 19财务披露：当前未确认完整Item 19财务业绩披露。缺少Item 19本身就是重大风险信号，不能用销售人员口头承诺替代。</w:t>
      </w:r>
    </w:p>
    <w:p>
      <w:r>
        <w:t xml:space="preserve">培训地点与成本：核查培训是否在总部、是否收取额外费用、差旅住宿由谁承担、未通过培训是否影响开业。</w:t>
      </w:r>
    </w:p>
    <w:p>
      <w:r>
        <w:t xml:space="preserve">数字营销限制：核查社媒账号、外卖平台、官网、CRM、折扣活动和本地广告是否受品牌方单方控制。</w:t>
      </w:r>
    </w:p>
    <w:p>
      <w:r>
        <w:t xml:space="preserve">深度尽调补充：十、其他关键运营限制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19</w:t>
      </w:r>
    </w:p>
    <w:p>
      <w:r>
        <w:t xml:space="preserve">需人工核查：是</w:t>
      </w:r>
    </w:p>
    <w:p>
      <w:pPr>
        <w:pStyle w:val="Heading1"/>
      </w:pPr>
      <w:r>
        <w:t xml:space="preserve">十一、同行业品牌横向对比</w:t>
      </w:r>
    </w:p>
    <w:p>
      <w:r>
        <w:t xml:space="preserve">分析对象：Gong Cha</w:t>
        <w:br/>
        <w:t xml:space="preserve">引用依据：FDD Item 20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11.1 核心条款对比表</w:t>
        <w:br/>
        <w:t xml:space="preserve">| 维度 | 本品牌 | 竞品A | 竞品B | 竞品C |</w:t>
        <w:br/>
        <w:t xml:space="preserve">| 门店数 | 以Item 20为准 | 需选同业品牌 | 需选同业品牌 | 需选同业品牌 |</w:t>
        <w:br/>
        <w:t xml:space="preserve">| 初始费/总投资 | 以Items 5-7为准 | 行业均值对比 | 行业均值对比 | 行业均值对比 |</w:t>
        <w:br/>
        <w:t xml:space="preserve">| Royalty/合同期 | 以Item 6/17为准 | 行业均值对比 | 行业均值对比 | 行业均值对比 |</w:t>
        <w:br/>
        <w:t xml:space="preserve">| 商标状态/Item 19 | 以Item 13/19为准 | 公开FDD核查 | 公开FDD核查 | 公开FDD核查 |</w:t>
      </w:r>
    </w:p>
    <w:p>
      <w:r>
        <w:t xml:space="preserve">11.2 品牌成熟度评分矩阵：美国运营年限、门店稳定性、财务透明度、供应链成熟度、合同友好度、商标确定性、培训支持和华人投资人适配度，各按10分制评分。</w:t>
      </w:r>
    </w:p>
    <w:p>
      <w:r>
        <w:t xml:space="preserve">11.3 特殊同类比较：如同为中国茶饮、麻辣烫、火锅或甜品品牌，应单独比较美国本地化能力和供应链可复制性。</w:t>
      </w:r>
    </w:p>
    <w:p>
      <w:r>
        <w:t xml:space="preserve">深度尽调补充：十一、同行业品牌横向对比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20</w:t>
      </w:r>
    </w:p>
    <w:p>
      <w:r>
        <w:t xml:space="preserve">需人工核查：是</w:t>
      </w:r>
    </w:p>
    <w:p>
      <w:pPr>
        <w:pStyle w:val="Heading1"/>
      </w:pPr>
      <w:r>
        <w:t xml:space="preserve">十二、五大核心风险归总</w:t>
      </w:r>
    </w:p>
    <w:p>
      <w:r>
        <w:t xml:space="preserve">分析对象：Gong Cha</w:t>
        <w:br/>
        <w:t xml:space="preserve">引用依据：FDD Item 17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五大核心风险归总：</w:t>
        <w:br/>
        <w:t xml:space="preserve">1. 风险名称：财务披露不足。详细说明：Item 19缺失或样本口径不清会削弱收入判断。核心影响提示框：HIGH，需加盟商访谈和POS/税表验证。</w:t>
        <w:br/>
        <w:t xml:space="preserve">2. 风险名称：投资额与现金流压力。详细说明：Item 7低值可能不适用目标城市。核心影响提示框：HIGH，需本地预算和12-18个月压力测试。</w:t>
        <w:br/>
        <w:t xml:space="preserve">3. 风险名称：合同控制权过强。详细说明：续约、终止、转让、竞业和争议解决可能限制退出。核心影响提示框：HIGH，需律师逐条谈判。</w:t>
        <w:br/>
        <w:t xml:space="preserve">4. 风险名称：供应链和关联方采购。详细说明：指定采购可能导致成本不可控。核心影响提示框：MEDIUM/HIGH，需披露返利和替代供应商流程。</w:t>
        <w:br/>
        <w:t xml:space="preserve">5. 风险名称：门店增长质量。详细说明：开店增长需与关闭、转让、终止同步分析。核心影响提示框：MEDIUM，需访谈现有和退出加盟商。</w:t>
      </w:r>
    </w:p>
    <w:p>
      <w:r>
        <w:t xml:space="preserve">深度尽调补充：十二、五大核心风险归总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17</w:t>
      </w:r>
    </w:p>
    <w:p>
      <w:r>
        <w:t xml:space="preserve">需人工核查：是</w:t>
      </w:r>
    </w:p>
    <w:p>
      <w:pPr>
        <w:pStyle w:val="Heading1"/>
      </w:pPr>
      <w:r>
        <w:t xml:space="preserve">十三、USFDD综合建议</w:t>
      </w:r>
    </w:p>
    <w:p>
      <w:r>
        <w:t xml:space="preserve">分析对象：Gong Cha</w:t>
        <w:br/>
        <w:t xml:space="preserve">引用依据：FDD Item 23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13.1 签约前必做尽职调查清单：</w:t>
        <w:br/>
        <w:t xml:space="preserve">1. 索取最新版FDD和所有合同附件。</w:t>
        <w:br/>
        <w:t xml:space="preserve">2. 核对Item 1主体、商标权利人、品牌授权链条。</w:t>
        <w:br/>
        <w:t xml:space="preserve">3. 核查Item 3诉讼和Item 4破产的法院公开记录。</w:t>
        <w:br/>
        <w:t xml:space="preserve">4. 重建Item 5-7完整投资预算。</w:t>
        <w:br/>
        <w:t xml:space="preserve">5. 审查Item 8供应链、返利和关联方交易。</w:t>
        <w:br/>
        <w:t xml:space="preserve">6. 核查Item 13商标注册和授权状态。</w:t>
        <w:br/>
        <w:t xml:space="preserve">7. 分析Item 17续约、终止、转让、竞业和争议解决。</w:t>
        <w:br/>
        <w:t xml:space="preserve">8. 验证Item 19披露或缺失带来的收入不确定性。</w:t>
        <w:br/>
        <w:t xml:space="preserve">9. 访谈至少5名现有、退出或转让加盟商。</w:t>
        <w:br/>
        <w:t xml:space="preserve">10. 请美国加盟律师和会计师出具书面意见。</w:t>
      </w:r>
    </w:p>
    <w:p>
      <w:r>
        <w:t xml:space="preserve">13.2 合同谈判重点：争取明确区域保护、补救期、转让机制、供应商替代权、费用上限、续约条件、竞业限制缩小和销售承诺书面化。</w:t>
      </w:r>
    </w:p>
    <w:p>
      <w:r>
        <w:t xml:space="preserve">13.3 投资风险综合评级表：</w:t>
        <w:br/>
        <w:t xml:space="preserve">| 风险类别 | 评级 | 可改善性 |</w:t>
        <w:br/>
        <w:t xml:space="preserve">| 财务披露 | HIGH/MEDIUM | 可通过访谈和财务核验改善 |</w:t>
        <w:br/>
        <w:t xml:space="preserve">| 合同控制 | HIGH | 需律师谈判 |</w:t>
        <w:br/>
        <w:t xml:space="preserve">| 供应链 | MEDIUM/HIGH | 需确认定价和替代机制 |</w:t>
        <w:br/>
        <w:t xml:space="preserve">| 商标 | MEDIUM | 需USPTO和授权文件核查 |</w:t>
      </w:r>
    </w:p>
    <w:p>
      <w:r>
        <w:t xml:space="preserve">13.4 USFDD综合建议：本报告仅供商业信息参考，不构成法律意见、投资建议、加盟建议、移民建议或财务建议。签约前必须完成法律、财务、税务、租约和运营尽调。页脚署名：本报告由 USFDD（www.USFDD.com）编制。</w:t>
      </w:r>
    </w:p>
    <w:p>
      <w:r>
        <w:t xml:space="preserve">深度尽调补充：十三、USFDD综合建议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23</w:t>
      </w:r>
    </w:p>
    <w:p>
      <w:r>
        <w:t xml:space="preserve">需人工核查：是</w:t>
      </w:r>
    </w:p>
    <w:p>
      <w:r>
        <w:t xml:space="preserve">免责声明：本报告基于公开FDD文件、用户上传文件或合法授权资料，由AI自动生成，仅供商业信息参考，不构成法律意见、投资建议、加盟建议、移民建议或财务建议。FDD可能不是最新版本，签署任何加盟协议或支付任何费用前，应直接向特许经营商索取最新版FDD，并咨询美国律师、会计师及专业顾问。</w:t>
      </w:r>
    </w:p>
    <w:p>
      <w:r>
        <w:t xml:space="preserve">页脚署名：本报告由 USFDD（www.USFDD.com）编制</w:t>
      </w:r>
    </w:p>
    <w:sectPr>
      <w:footerReference w:type="default" r:id="rIdFooter"/>
      <w:pgSz w:w="12240" w:h="15840"/>
      <w:pgMar w:top="1440" w:right="1440" w:bottom="1440" w:left="1440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rFonts w:ascii="Arial" w:eastAsia="Microsoft YaHei" w:hAnsi="Arial"/>
        <w:sz w:val="18"/>
        <w:color w:val="1A3A5C"/>
      </w:rPr>
      <w:t>本报告由 USFDD（www.USFDD.com）编制 ｜ 第 </w:t>
    </w:r>
    <w:fldSimple w:instr="PAGE">
      <w:r>
        <w:rPr>
          <w:sz w:val="18"/>
          <w:color w:val="1A3A5C"/>
        </w:rPr>
        <w:t>1</w:t>
      </w:r>
    </w:fldSimple>
    <w:r>
      <w:rPr>
        <w:sz w:val="18"/>
        <w:color w:val="1A3A5C"/>
      </w:rPr>
      <w:t> 页</w:t>
    </w:r>
  </w:p>
</w:ftr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eastAsia="Microsoft YaHei" w:hAnsi="Arial"/>
      <w:sz w:val="22"/>
    </w:rPr>
  </w:style>
  <w:style w:type="paragraph" w:styleId="Title">
    <w:name w:val="Title"/>
    <w:basedOn w:val="Normal"/>
    <w:pPr>
      <w:spacing w:after="240"/>
    </w:pPr>
    <w:rPr>
      <w:rFonts w:ascii="Arial" w:eastAsia="Microsoft YaHei" w:hAnsi="Arial"/>
      <w:b/>
      <w:sz w:val="36"/>
      <w:color w:val="1A3A5C"/>
    </w:rPr>
  </w:style>
  <w:style w:type="paragraph" w:styleId="Heading1">
    <w:name w:val="heading 1"/>
    <w:basedOn w:val="Normal"/>
    <w:pPr>
      <w:spacing w:before="300" w:after="120"/>
    </w:pPr>
    <w:rPr>
      <w:rFonts w:ascii="Arial" w:eastAsia="Microsoft YaHei" w:hAnsi="Arial"/>
      <w:b/>
      <w:sz w:val="28"/>
      <w:color w:val="1A3A5C"/>
    </w:rPr>
  </w:style>
  <w:style w:type="paragraph" w:styleId="Heading2">
    <w:name w:val="heading 2"/>
    <w:basedOn w:val="Normal"/>
    <w:pPr>
      <w:spacing w:before="180" w:after="80"/>
    </w:pPr>
    <w:rPr>
      <w:rFonts w:ascii="Arial" w:eastAsia="Microsoft YaHei" w:hAnsi="Arial"/>
      <w:b/>
      <w:sz w:val="24"/>
      <w:color w:val="243B5A"/>
    </w:rPr>
  </w:style>
</w:styles>
</file>

<file path=word/_rels/document.xml.rels><?xml version="1.0" encoding="UTF-8" standalone="yes"?>
<Relationships xmlns="http://schemas.openxmlformats.org/package/2006/relationships">
  <Relationship Id="rIdFooter" Type="http://schemas.openxmlformats.org/officeDocument/2006/relationships/footer" Target="footer1.xml"/>
</Relationships>
</file>